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>关于协助提供两城一中心相关统计数据的通知</w:t>
      </w: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 w:val="0"/>
          <w:bCs/>
          <w:sz w:val="28"/>
          <w:szCs w:val="28"/>
          <w:lang w:val="en-US" w:eastAsia="zh-CN"/>
        </w:rPr>
        <w:t>各园区入驻单位：</w:t>
      </w: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 w:val="0"/>
          <w:bCs/>
          <w:sz w:val="28"/>
          <w:szCs w:val="28"/>
          <w:lang w:val="en-US" w:eastAsia="zh-CN"/>
        </w:rPr>
        <w:t xml:space="preserve">     为全面反映江北新区“两城一中心”发展状况，建立统一、规范的数据统计，现对园区内主导产业企业进行统计入库和监测工作。请贵单位根据《中华人民共和国统计法》，配合园区统计人员进行数据采集，如实填报企业基本情况及调查所需企业的财务数据，并协助提供营业执照（证书）、财务报表、纳税申报表等辅助调查资料。</w:t>
      </w: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</w:pP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pStyle w:val="2"/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</w:pPr>
    </w:p>
    <w:p>
      <w:pPr>
        <w:pStyle w:val="2"/>
        <w:ind w:firstLine="4800" w:firstLineChars="2000"/>
        <w:rPr>
          <w:rStyle w:val="5"/>
          <w:rFonts w:hint="default" w:ascii="Times New Roman" w:hAnsi="Times New Roman" w:eastAsia="方正仿宋_GBK"/>
          <w:b w:val="0"/>
          <w:bCs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 w:val="0"/>
          <w:bCs/>
          <w:sz w:val="24"/>
          <w:szCs w:val="24"/>
          <w:lang w:val="en-US" w:eastAsia="zh-CN"/>
        </w:rPr>
        <w:t>南京市江北新区产业技术研创园</w:t>
      </w:r>
    </w:p>
    <w:p>
      <w:pPr>
        <w:jc w:val="right"/>
        <w:rPr>
          <w:rStyle w:val="5"/>
          <w:rFonts w:hint="default" w:ascii="Times New Roman" w:hAnsi="Times New Roman" w:eastAsia="方正仿宋_GBK" w:cs="宋体"/>
          <w:b w:val="0"/>
          <w:bCs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Style w:val="5"/>
          <w:rFonts w:hint="eastAsia" w:ascii="Times New Roman" w:hAnsi="Times New Roman" w:eastAsia="方正仿宋_GBK" w:cs="宋体"/>
          <w:b w:val="0"/>
          <w:bCs/>
          <w:sz w:val="24"/>
          <w:szCs w:val="24"/>
          <w:lang w:val="en-US" w:eastAsia="zh-CN" w:bidi="ar-SA"/>
        </w:rPr>
        <w:t>2020年5月</w:t>
      </w: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</w:pPr>
    </w:p>
    <w:p>
      <w:pP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>两城一中心：</w:t>
      </w:r>
      <w: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</w:rPr>
        <w:t>即建设“芯片之城”、“基因之城”和“新金融中心”，符合国家对新区的定位，符合产业发展趋势，符合高质量发展的要求，重点发展集成电路、生命健康和新金融三大核心产业</w:t>
      </w:r>
      <w: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。</w:t>
      </w:r>
    </w:p>
    <w:p>
      <w:pP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</w:rPr>
      </w:pPr>
    </w:p>
    <w:p>
      <w:pPr>
        <w:tabs>
          <w:tab w:val="left" w:pos="8280"/>
        </w:tabs>
        <w:snapToGrid w:val="0"/>
        <w:spacing w:line="560" w:lineRule="exact"/>
        <w:jc w:val="center"/>
        <w:outlineLvl w:val="1"/>
        <w:rPr>
          <w:rStyle w:val="5"/>
          <w:rFonts w:hint="default"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</w:rPr>
        <w:t>入库标准：</w:t>
      </w:r>
      <w: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</w:rPr>
        <w:t>一是具有独立法人资格的企业；二是主要</w:t>
      </w:r>
      <w: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从事集成电路、生命健康、新金融业务领域的企业（具体：详见</w:t>
      </w:r>
      <w:r>
        <w:rPr>
          <w:rFonts w:hint="eastAsia" w:ascii="黑体" w:hAnsi="宋体" w:eastAsia="黑体"/>
          <w:sz w:val="32"/>
        </w:rPr>
        <w:t>涉及行业范围行业代码参考目录</w:t>
      </w:r>
      <w:r>
        <w:rPr>
          <w:rFonts w:hint="eastAsia" w:ascii="黑体" w:eastAsia="黑体"/>
          <w:sz w:val="32"/>
          <w:lang w:val="en-US" w:eastAsia="zh-CN"/>
        </w:rPr>
        <w:t>-附件</w:t>
      </w:r>
      <w:r>
        <w:rPr>
          <w:rStyle w:val="5"/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eastAsia="方正仿宋_GBK"/>
          <w:lang w:eastAsia="zh-CN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>两城一中心</w:t>
      </w: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</w:rPr>
        <w:t>入库</w:t>
      </w: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eastAsia="zh-CN"/>
        </w:rPr>
        <w:t>时间：</w:t>
      </w:r>
      <w:r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月度入库，符合标准即可随时申请入库。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3534" w:hanging="3534" w:hangingChars="110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</w:rPr>
        <w:t>入库</w:t>
      </w: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eastAsia="zh-CN"/>
        </w:rPr>
        <w:t>联系人：</w:t>
      </w:r>
      <w:r>
        <w:rPr>
          <w:rStyle w:val="5"/>
          <w:rFonts w:hint="eastAsia" w:ascii="Times New Roman" w:hAnsi="Times New Roman" w:eastAsia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经济发展与科技创新部    刘晋雄</w:t>
      </w: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  <w:t>电话：58186755  QQ:258121484</w:t>
      </w: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ind w:left="3509" w:leftChars="1595" w:firstLine="0" w:firstLineChars="0"/>
        <w:jc w:val="left"/>
        <w:rPr>
          <w:rStyle w:val="5"/>
          <w:rFonts w:hint="eastAsia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Style w:val="5"/>
          <w:rFonts w:hint="default" w:ascii="Times New Roman" w:hAnsi="Times New Roman" w:eastAsia="方正仿宋_GBK" w:cs="宋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/>
          <w:sz w:val="32"/>
        </w:rPr>
        <w:t>涉及行业范围行业代码参考目录</w:t>
      </w:r>
    </w:p>
    <w:p>
      <w:pPr>
        <w:spacing w:line="360" w:lineRule="exact"/>
        <w:ind w:firstLine="44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注：新区三大产业企业原则上须同时满足以下条件：1、产品符合以下行业代码目录内，2、企业产品属三大产业且经发局审核确认；3、特殊企业不在以下行业代码范围内的，需提供相关证明材料。</w:t>
      </w:r>
    </w:p>
    <w:p>
      <w:pPr>
        <w:tabs>
          <w:tab w:val="left" w:pos="8280"/>
        </w:tabs>
        <w:snapToGrid w:val="0"/>
        <w:spacing w:line="560" w:lineRule="exact"/>
        <w:jc w:val="center"/>
        <w:outlineLvl w:val="1"/>
        <w:rPr>
          <w:rFonts w:hint="eastAsia" w:ascii="黑体" w:hAnsi="宋体" w:eastAsia="黑体"/>
          <w:b/>
          <w:sz w:val="32"/>
        </w:rPr>
      </w:pPr>
    </w:p>
    <w:p>
      <w:pPr>
        <w:tabs>
          <w:tab w:val="left" w:pos="8280"/>
        </w:tabs>
        <w:snapToGrid w:val="0"/>
        <w:spacing w:after="100" w:afterAutospacing="1" w:line="560" w:lineRule="exact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30"/>
        </w:rPr>
      </w:pPr>
      <w:r>
        <w:rPr>
          <w:rFonts w:hint="eastAsia" w:ascii="宋体" w:hAnsi="宋体" w:cs="宋体"/>
          <w:color w:val="000000"/>
          <w:kern w:val="0"/>
          <w:sz w:val="24"/>
          <w:szCs w:val="30"/>
        </w:rPr>
        <w:t>一、集成电路产业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行业代码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注释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3562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半导体器件专用设备制造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3563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电子元器件与机电组件设备制造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3597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水资源专用机械制造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3823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配电开关控制设备制造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3824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电力电子元器件制造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3829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其他输配电及控制设备制造（集成电路相关）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3832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光纤制造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通信系统设备制造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3922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通信终端设备制造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3939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应用电视设备及其他广播电视设备制造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3973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集成电路制造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3976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光电子器件制造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3979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其他电子器件制造（集成电路相关）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3981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电阻电容电感元件制造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3985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电子专用材料制造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3989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其他电子元件制造（集成电路相关）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4011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工业自动控制系统装置制造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4023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导航、测绘、气象及海洋专用仪器制造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4028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电子测量仪器制造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4029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其他专用仪器制造（集成电路相关）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5177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通讯设备批发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5179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其他机械设备及电子产品批发（集成电路相关）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6339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其他卫星传输服务（集成电路相关）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6410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互联网接入及相关服务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6511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基础软件开发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6513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应用软件开发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6519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其他软件开发（集成电路相关）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6520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集成电路设计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6531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信息系统集成服务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6532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6560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6599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其他未列明信息技术服务业（集成电路相关）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7320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工程和技术研究和试验发展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7452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7484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工程设计活动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7491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7492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7499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其他未列明专业技术服务业（集成电路相关）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7513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新材料技术推广服务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7514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节能技术推广服务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7519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其他技术推广服务（集成电路相关）</w:t>
            </w:r>
          </w:p>
        </w:tc>
      </w:tr>
    </w:tbl>
    <w:p>
      <w:pPr>
        <w:tabs>
          <w:tab w:val="left" w:pos="8280"/>
        </w:tabs>
        <w:snapToGrid w:val="0"/>
        <w:spacing w:after="100" w:afterAutospacing="1" w:line="560" w:lineRule="exact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/>
          <w:color w:val="000000"/>
          <w:kern w:val="0"/>
          <w:sz w:val="24"/>
          <w:szCs w:val="30"/>
        </w:rPr>
        <w:t>二</w:t>
      </w:r>
      <w:r>
        <w:rPr>
          <w:rFonts w:hint="eastAsia" w:ascii="宋体" w:hAnsi="宋体" w:cs="宋体"/>
          <w:color w:val="000000"/>
          <w:kern w:val="0"/>
          <w:sz w:val="24"/>
          <w:szCs w:val="30"/>
        </w:rPr>
        <w:t>、</w:t>
      </w:r>
      <w:r>
        <w:rPr>
          <w:rFonts w:ascii="宋体" w:hAnsi="宋体" w:cs="宋体"/>
          <w:color w:val="000000"/>
          <w:kern w:val="0"/>
          <w:sz w:val="24"/>
          <w:szCs w:val="30"/>
        </w:rPr>
        <w:t>生命健康产业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行业代码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注释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1492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保健食品制造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1495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食品及饲料添加剂制造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2661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化学试剂和助剂制造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2682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化妆品制造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2710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化学药品原料药制造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2720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化学药品制剂制造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2730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中药饮片加工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2740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中成药生产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2761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生物药品制造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2770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卫生材料及医药用品制造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2921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塑料薄膜制造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3581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医疗诊断、监护及治疗设备制造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3584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医疗、外科及兽医用器械制造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3589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其他医疗设备及器械制造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3591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环境保护专用设备制造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3599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其他专用设备制造（生命健康相关）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3856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家用美容、保健护理电器具制造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5126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营养和保健品批发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5129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其他食品批发（生命健康相关）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5134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化妆品及卫生用品批发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5151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西药批发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5154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医疗用品及器材批发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5199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其他未列明批发业（生命健康相关）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5251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5254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医疗用品及器材零售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5255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保健辅助治疗器材零售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5432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冷藏车道路运输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7219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其他组织管理服务（生命健康相关）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7221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园区管理服务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7244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7340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医学研究和试验发展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7451</w:t>
            </w:r>
          </w:p>
        </w:tc>
        <w:tc>
          <w:tcPr>
            <w:tcW w:w="4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检验检疫服务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7452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7484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工程设计活动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7491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7512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生物技术推广服务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8010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8053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养生保健服务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8411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8415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8421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社区卫生服务中心（站）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8431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8492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临床检验服务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8514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老年人、残疾人养护服务</w:t>
            </w:r>
          </w:p>
        </w:tc>
      </w:tr>
    </w:tbl>
    <w:p>
      <w:pPr>
        <w:tabs>
          <w:tab w:val="left" w:pos="8280"/>
        </w:tabs>
        <w:snapToGrid w:val="0"/>
        <w:spacing w:after="100" w:afterAutospacing="1" w:line="560" w:lineRule="exact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30"/>
        </w:rPr>
      </w:pPr>
      <w:r>
        <w:rPr>
          <w:rFonts w:hint="eastAsia" w:ascii="宋体" w:hAnsi="宋体" w:cs="宋体"/>
          <w:color w:val="000000"/>
          <w:kern w:val="0"/>
          <w:sz w:val="24"/>
          <w:szCs w:val="30"/>
        </w:rPr>
        <w:t>三、新</w:t>
      </w:r>
      <w:r>
        <w:rPr>
          <w:rFonts w:ascii="宋体" w:hAnsi="宋体" w:cs="宋体"/>
          <w:color w:val="000000"/>
          <w:kern w:val="0"/>
          <w:sz w:val="24"/>
          <w:szCs w:val="30"/>
        </w:rPr>
        <w:t>金融产业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行业代码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注释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货币金融服务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资本市场服务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其他金融业</w:t>
            </w:r>
          </w:p>
        </w:tc>
      </w:tr>
    </w:tbl>
    <w:p>
      <w:pPr>
        <w:spacing w:line="360" w:lineRule="exact"/>
        <w:ind w:firstLine="440" w:firstLineChars="200"/>
        <w:rPr>
          <w:rFonts w:hint="eastAsia" w:ascii="宋体" w:hAnsi="宋体"/>
        </w:rPr>
      </w:pPr>
    </w:p>
    <w:p>
      <w:r>
        <w:rPr>
          <w:rFonts w:ascii="宋体" w:hAnsi="宋体" w:cs="宋体"/>
          <w:color w:val="000000"/>
          <w:kern w:val="0"/>
          <w:sz w:val="24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7111"/>
    <w:rsid w:val="13C910F2"/>
    <w:rsid w:val="228D15E2"/>
    <w:rsid w:val="2F567274"/>
    <w:rsid w:val="369D78EB"/>
    <w:rsid w:val="3D8D22B3"/>
    <w:rsid w:val="3DA3311D"/>
    <w:rsid w:val="413E16F9"/>
    <w:rsid w:val="52BF45AF"/>
    <w:rsid w:val="630B3AC4"/>
    <w:rsid w:val="673D63F1"/>
    <w:rsid w:val="69A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2020-05-11T09:23:00Z</dcterms:created>
  <dc:creator>PSS</dc:creator>
  <cp:lastModifiedBy>飞天的猫～莎莎</cp:lastModifiedBy>
  <dcterms:modified xsi:type="dcterms:W3CDTF">2020-05-11T09:41:52Z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